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127A2">
        <w:rPr>
          <w:rFonts w:ascii="Times New Roman" w:hAnsi="Times New Roman" w:cs="Times New Roman"/>
          <w:sz w:val="24"/>
          <w:szCs w:val="24"/>
          <w:lang w:val="en-US"/>
        </w:rPr>
        <w:t>Supplemental data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127A2">
        <w:rPr>
          <w:rFonts w:ascii="Times New Roman" w:hAnsi="Times New Roman" w:cs="Times New Roman"/>
          <w:sz w:val="24"/>
          <w:szCs w:val="24"/>
          <w:lang w:val="en-US"/>
        </w:rPr>
        <w:t>Appendix 1.</w:t>
      </w:r>
      <w:proofErr w:type="gramEnd"/>
      <w:r w:rsidRPr="001127A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1127A2">
        <w:rPr>
          <w:rFonts w:ascii="Times New Roman" w:hAnsi="Times New Roman" w:cs="Times New Roman"/>
          <w:sz w:val="24"/>
          <w:szCs w:val="24"/>
          <w:lang w:val="en-US"/>
        </w:rPr>
        <w:t>Tableau A1.</w:t>
      </w:r>
      <w:proofErr w:type="gramEnd"/>
      <w:r w:rsidRPr="001127A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1127A2">
        <w:rPr>
          <w:rFonts w:ascii="Times New Roman" w:hAnsi="Times New Roman" w:cs="Times New Roman"/>
          <w:sz w:val="24"/>
          <w:szCs w:val="24"/>
          <w:lang w:val="en-US"/>
        </w:rPr>
        <w:t xml:space="preserve">Characteristics of older patients with or without </w:t>
      </w:r>
      <w:proofErr w:type="spellStart"/>
      <w:r w:rsidRPr="001127A2">
        <w:rPr>
          <w:rFonts w:ascii="Times New Roman" w:hAnsi="Times New Roman" w:cs="Times New Roman"/>
          <w:sz w:val="24"/>
          <w:szCs w:val="24"/>
          <w:lang w:val="en-US"/>
        </w:rPr>
        <w:t>Activites</w:t>
      </w:r>
      <w:proofErr w:type="spellEnd"/>
      <w:r w:rsidRPr="001127A2">
        <w:rPr>
          <w:rFonts w:ascii="Times New Roman" w:hAnsi="Times New Roman" w:cs="Times New Roman"/>
          <w:sz w:val="24"/>
          <w:szCs w:val="24"/>
          <w:lang w:val="en-US"/>
        </w:rPr>
        <w:t xml:space="preserve"> of Daily Living (ADL) missing.</w:t>
      </w:r>
      <w:proofErr w:type="gramEnd"/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09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40"/>
        <w:gridCol w:w="1156"/>
        <w:gridCol w:w="404"/>
        <w:gridCol w:w="283"/>
        <w:gridCol w:w="53"/>
        <w:gridCol w:w="231"/>
        <w:gridCol w:w="416"/>
        <w:gridCol w:w="1447"/>
        <w:gridCol w:w="50"/>
        <w:gridCol w:w="8"/>
        <w:gridCol w:w="30"/>
        <w:gridCol w:w="977"/>
        <w:gridCol w:w="13"/>
        <w:gridCol w:w="147"/>
      </w:tblGrid>
      <w:tr w:rsidR="00FD0E6B" w:rsidRPr="001127A2" w:rsidTr="00AB5C88">
        <w:trPr>
          <w:gridAfter w:val="2"/>
          <w:wAfter w:w="160" w:type="dxa"/>
          <w:trHeight w:val="712"/>
        </w:trPr>
        <w:tc>
          <w:tcPr>
            <w:tcW w:w="5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8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Study population</w:t>
            </w:r>
          </w:p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n=165</w:t>
            </w:r>
          </w:p>
        </w:tc>
        <w:tc>
          <w:tcPr>
            <w:tcW w:w="23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Population</w:t>
            </w:r>
          </w:p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with ADL missing</w:t>
            </w:r>
          </w:p>
          <w:p w:rsidR="00FD0E6B" w:rsidRPr="001127A2" w:rsidRDefault="003A56FC" w:rsidP="00103641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n=72</w:t>
            </w:r>
          </w:p>
        </w:tc>
        <w:tc>
          <w:tcPr>
            <w:tcW w:w="106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 value</w:t>
            </w:r>
          </w:p>
        </w:tc>
      </w:tr>
      <w:tr w:rsidR="00FD0E6B" w:rsidRPr="001127A2" w:rsidTr="00AB5C88">
        <w:trPr>
          <w:gridAfter w:val="2"/>
          <w:wAfter w:w="160" w:type="dxa"/>
          <w:trHeight w:val="315"/>
        </w:trPr>
        <w:tc>
          <w:tcPr>
            <w:tcW w:w="5740" w:type="dxa"/>
            <w:tcBorders>
              <w:top w:val="single" w:sz="4" w:space="0" w:color="auto"/>
            </w:tcBorders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Baseline characteristics 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71" w:type="dxa"/>
            <w:gridSpan w:val="4"/>
            <w:tcBorders>
              <w:top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  <w:gridSpan w:val="2"/>
            <w:tcBorders>
              <w:top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065" w:type="dxa"/>
            <w:gridSpan w:val="4"/>
            <w:tcBorders>
              <w:top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2"/>
          <w:wAfter w:w="160" w:type="dxa"/>
          <w:trHeight w:val="315"/>
        </w:trPr>
        <w:tc>
          <w:tcPr>
            <w:tcW w:w="5740" w:type="dxa"/>
            <w:noWrap/>
            <w:vAlign w:val="bottom"/>
            <w:hideMark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Age, years, median [Q1-Q3]</w:t>
            </w:r>
          </w:p>
        </w:tc>
        <w:tc>
          <w:tcPr>
            <w:tcW w:w="1843" w:type="dxa"/>
            <w:gridSpan w:val="3"/>
          </w:tcPr>
          <w:p w:rsidR="00FD0E6B" w:rsidRPr="001127A2" w:rsidRDefault="00AB5C88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 [81-</w:t>
            </w:r>
            <w:r w:rsidR="00FD0E6B"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90]</w:t>
            </w:r>
          </w:p>
        </w:tc>
        <w:tc>
          <w:tcPr>
            <w:tcW w:w="284" w:type="dxa"/>
            <w:gridSpan w:val="2"/>
            <w:tcBorders>
              <w:left w:val="nil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 [83-91]</w:t>
            </w:r>
          </w:p>
        </w:tc>
        <w:tc>
          <w:tcPr>
            <w:tcW w:w="1065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0.003</w:t>
            </w:r>
          </w:p>
        </w:tc>
      </w:tr>
      <w:tr w:rsidR="00FD0E6B" w:rsidRPr="001127A2" w:rsidTr="00AB5C88">
        <w:trPr>
          <w:gridAfter w:val="2"/>
          <w:wAfter w:w="160" w:type="dxa"/>
          <w:trHeight w:val="315"/>
        </w:trPr>
        <w:tc>
          <w:tcPr>
            <w:tcW w:w="5740" w:type="dxa"/>
            <w:noWrap/>
            <w:vAlign w:val="bottom"/>
            <w:hideMark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Male gender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 (26.7)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 (29.6)</w:t>
            </w:r>
          </w:p>
        </w:tc>
        <w:tc>
          <w:tcPr>
            <w:tcW w:w="1065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0.64</w:t>
            </w:r>
          </w:p>
        </w:tc>
      </w:tr>
      <w:tr w:rsidR="00FD0E6B" w:rsidRPr="001127A2" w:rsidTr="00AB5C88">
        <w:trPr>
          <w:gridAfter w:val="2"/>
          <w:wAfter w:w="160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Living alone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113 (68.5)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 (69.4)</w:t>
            </w:r>
          </w:p>
        </w:tc>
        <w:tc>
          <w:tcPr>
            <w:tcW w:w="1065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0.77</w:t>
            </w:r>
          </w:p>
        </w:tc>
      </w:tr>
      <w:tr w:rsidR="00FD0E6B" w:rsidRPr="001127A2" w:rsidTr="00AB5C88">
        <w:trPr>
          <w:trHeight w:val="315"/>
        </w:trPr>
        <w:tc>
          <w:tcPr>
            <w:tcW w:w="5740" w:type="dxa"/>
            <w:noWrap/>
            <w:vAlign w:val="bottom"/>
          </w:tcPr>
          <w:p w:rsidR="00FD0E6B" w:rsidRPr="00AB5C88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B5C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Place of residence:</w:t>
            </w:r>
          </w:p>
        </w:tc>
        <w:tc>
          <w:tcPr>
            <w:tcW w:w="1560" w:type="dxa"/>
            <w:gridSpan w:val="2"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65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0" w:type="dxa"/>
            <w:gridSpan w:val="2"/>
            <w:tcBorders>
              <w:lef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Home or assisted-living facility</w:t>
            </w:r>
          </w:p>
        </w:tc>
        <w:tc>
          <w:tcPr>
            <w:tcW w:w="1560" w:type="dxa"/>
            <w:gridSpan w:val="2"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159 (96.4)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  <w:gridSpan w:val="2"/>
          </w:tcPr>
          <w:p w:rsidR="00FD0E6B" w:rsidRPr="001127A2" w:rsidRDefault="00D3268F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 (98.6</w:t>
            </w:r>
            <w:r w:rsidR="00FD0E6B"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065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160" w:type="dxa"/>
            <w:gridSpan w:val="2"/>
            <w:tcBorders>
              <w:lef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Nursing home</w:t>
            </w:r>
          </w:p>
        </w:tc>
        <w:tc>
          <w:tcPr>
            <w:tcW w:w="1560" w:type="dxa"/>
            <w:gridSpan w:val="2"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(3.6)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  <w:gridSpan w:val="2"/>
          </w:tcPr>
          <w:p w:rsidR="00FD0E6B" w:rsidRPr="001127A2" w:rsidRDefault="003A56FC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(2.8</w:t>
            </w:r>
            <w:r w:rsidR="00FD0E6B"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065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0" w:type="dxa"/>
            <w:gridSpan w:val="2"/>
            <w:tcBorders>
              <w:lef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trHeight w:val="315"/>
        </w:trPr>
        <w:tc>
          <w:tcPr>
            <w:tcW w:w="5740" w:type="dxa"/>
            <w:noWrap/>
            <w:vAlign w:val="bottom"/>
          </w:tcPr>
          <w:p w:rsidR="00FD0E6B" w:rsidRPr="00AB5C88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B5C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Main acute diagnosis</w:t>
            </w:r>
          </w:p>
        </w:tc>
        <w:tc>
          <w:tcPr>
            <w:tcW w:w="1560" w:type="dxa"/>
            <w:gridSpan w:val="2"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65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0.85</w:t>
            </w:r>
          </w:p>
        </w:tc>
        <w:tc>
          <w:tcPr>
            <w:tcW w:w="160" w:type="dxa"/>
            <w:gridSpan w:val="2"/>
            <w:tcBorders>
              <w:lef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2"/>
          <w:wAfter w:w="160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Cardiovascular diseases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 (21.8)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(16.6)</w:t>
            </w:r>
          </w:p>
        </w:tc>
        <w:tc>
          <w:tcPr>
            <w:tcW w:w="1065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2"/>
          <w:wAfter w:w="160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Cerebrovascular diseases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 (33.3)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 (30.5)</w:t>
            </w:r>
          </w:p>
        </w:tc>
        <w:tc>
          <w:tcPr>
            <w:tcW w:w="1065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2"/>
          <w:wAfter w:w="160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Orthopedic diseases (including fracture)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 (21.2)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 (22.2)</w:t>
            </w:r>
          </w:p>
        </w:tc>
        <w:tc>
          <w:tcPr>
            <w:tcW w:w="1065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2"/>
          <w:wAfter w:w="160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 diagnosis</w:t>
            </w:r>
            <w:r w:rsidRPr="001127A2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 (23.6)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 (30.5)</w:t>
            </w:r>
          </w:p>
        </w:tc>
        <w:tc>
          <w:tcPr>
            <w:tcW w:w="1065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2"/>
          <w:wAfter w:w="160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ADL at admission in rehabilitation unit, median [Q1-Q3]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[5-12]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 [4-10]</w:t>
            </w:r>
          </w:p>
        </w:tc>
        <w:tc>
          <w:tcPr>
            <w:tcW w:w="1065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0.02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Comorbidities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83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5" w:type="dxa"/>
            <w:gridSpan w:val="6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Global CIRS G</w:t>
            </w:r>
            <w:r w:rsidRPr="001127A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 point increase</w:t>
            </w: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median [Q1-Q3], (n=164)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11[9-13]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1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13[10-15]</w:t>
            </w:r>
          </w:p>
        </w:tc>
        <w:tc>
          <w:tcPr>
            <w:tcW w:w="1020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&lt;0.001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Comorbidity index, median [Q1-Q3]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5[4-6]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51" w:type="dxa"/>
            <w:gridSpan w:val="5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5[4-6]</w:t>
            </w:r>
          </w:p>
        </w:tc>
        <w:tc>
          <w:tcPr>
            <w:tcW w:w="990" w:type="dxa"/>
            <w:gridSpan w:val="2"/>
          </w:tcPr>
          <w:p w:rsidR="00FD0E6B" w:rsidRPr="00215F71" w:rsidRDefault="00215F71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15F7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bookmarkStart w:id="0" w:name="_GoBack"/>
            <w:bookmarkEnd w:id="0"/>
            <w:r w:rsidRPr="00215F7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</w:tr>
      <w:tr w:rsidR="00FD0E6B" w:rsidRPr="00D3268F" w:rsidTr="00AB5C88">
        <w:trPr>
          <w:gridAfter w:val="1"/>
          <w:wAfter w:w="147" w:type="dxa"/>
          <w:trHeight w:val="315"/>
        </w:trPr>
        <w:tc>
          <w:tcPr>
            <w:tcW w:w="7300" w:type="dxa"/>
            <w:gridSpan w:val="3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Number of patients with CIRS-G score ≥ 2 in each category, </w:t>
            </w:r>
            <w:proofErr w:type="gramStart"/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n(</w:t>
            </w:r>
            <w:proofErr w:type="gramEnd"/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%)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951" w:type="dxa"/>
            <w:gridSpan w:val="5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9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Cardiovascular/respiratory system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51" w:type="dxa"/>
            <w:gridSpan w:val="5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FD0E6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Heart disease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106(64.2)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1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52(72.2)</w:t>
            </w:r>
          </w:p>
        </w:tc>
        <w:tc>
          <w:tcPr>
            <w:tcW w:w="1020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0.18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FD0E6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Hypertension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120(72.7)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54(75)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0.59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FD0E6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Vascular/hematological diseases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45(27.3)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24(33.3)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0.31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FD0E6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Respiratory diseases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34(20.6)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18(25.0)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0.42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FD0E6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Eye, ear, nose and larynx diseases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36(21.8)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23(31.9)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Gastrointestinal system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FD0E6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Upper gastrointestinal disease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13(7.9)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3(4.2)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0.30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FD0E6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Lower gastrointestinal disease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15(9.1)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11(15.3)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FD0E6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Hepatic diseases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1(0.6)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1(1.4)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0.53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Genitourinary system 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FD0E6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Renal diseases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60(36.4)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33(45.9)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0.14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FD0E6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 urogenital diseases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35(21.2)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18(25.0)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0.48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Musculoskeletal/integumentary system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FD0E6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Muscle, bone, and skin diseases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85(51.5)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53(73.6)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0.001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Neuropsychiatric system 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FD0E6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Neurological diseases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47(28.5)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16(22.2)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0.34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FD0E6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Psychiatric diseases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125(75.8)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60(83.3)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0.134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 system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FD0E6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Endocrine and metabolic diseases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46(27.9)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21(29.2)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0.79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MMSE</w:t>
            </w:r>
            <w:r w:rsidRPr="001127A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 point decrease</w:t>
            </w: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median [Q1-Q3]</w:t>
            </w:r>
          </w:p>
        </w:tc>
        <w:tc>
          <w:tcPr>
            <w:tcW w:w="1560" w:type="dxa"/>
            <w:gridSpan w:val="2"/>
          </w:tcPr>
          <w:p w:rsidR="00FD0E6B" w:rsidRPr="001127A2" w:rsidRDefault="003F3ABA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22[17-26</w:t>
            </w:r>
            <w:r w:rsidR="00FD0E6B"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21[16-24]</w:t>
            </w:r>
          </w:p>
        </w:tc>
        <w:tc>
          <w:tcPr>
            <w:tcW w:w="1028" w:type="dxa"/>
            <w:gridSpan w:val="4"/>
          </w:tcPr>
          <w:p w:rsidR="00FD0E6B" w:rsidRPr="001127A2" w:rsidRDefault="003F3ABA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0.18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Albumin level &lt;30 g/L  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31(18.8)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16(22.2)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0.51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Albumin level &lt;35 g/L  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91(55.1)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47(65.2)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0.11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CRP , mg/L, median [Q1-Q3]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6[2.5-18]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7[2.5-26]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0.21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tcBorders>
              <w:bottom w:val="single" w:sz="4" w:space="0" w:color="auto"/>
            </w:tcBorders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Creatinine clearance </w:t>
            </w:r>
            <w:proofErr w:type="spellStart"/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Cockroft</w:t>
            </w:r>
            <w:proofErr w:type="spellEnd"/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ml/min </w:t>
            </w:r>
            <w:r w:rsidRPr="001127A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 xml:space="preserve">1 point decrease </w:t>
            </w: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median [Q1-Q3] (n=164)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42[32.7-54.6]</w:t>
            </w:r>
          </w:p>
        </w:tc>
        <w:tc>
          <w:tcPr>
            <w:tcW w:w="567" w:type="dxa"/>
            <w:gridSpan w:val="3"/>
            <w:tcBorders>
              <w:bottom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  <w:tcBorders>
              <w:bottom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39.7[30.7-50.6]</w:t>
            </w:r>
          </w:p>
        </w:tc>
        <w:tc>
          <w:tcPr>
            <w:tcW w:w="1028" w:type="dxa"/>
            <w:gridSpan w:val="4"/>
            <w:tcBorders>
              <w:bottom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0.13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tcBorders>
              <w:top w:val="single" w:sz="4" w:space="0" w:color="auto"/>
            </w:tcBorders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ADL at discharge from rehabilitation unit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7[10-12]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  <w:tcBorders>
              <w:top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28" w:type="dxa"/>
            <w:gridSpan w:val="4"/>
            <w:tcBorders>
              <w:top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tcBorders>
              <w:top w:val="single" w:sz="4" w:space="0" w:color="auto"/>
            </w:tcBorders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Hospital-acquired infection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  <w:tcBorders>
              <w:top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028" w:type="dxa"/>
            <w:gridSpan w:val="4"/>
            <w:tcBorders>
              <w:top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Infection during rehabilitation period ‡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51(30.9)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35(48.6)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0.007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noWrap/>
            <w:vAlign w:val="bottom"/>
            <w:hideMark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Pulmonar</w:t>
            </w:r>
            <w:proofErr w:type="spellEnd"/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infection </w:t>
            </w:r>
          </w:p>
        </w:tc>
        <w:tc>
          <w:tcPr>
            <w:tcW w:w="1560" w:type="dxa"/>
            <w:gridSpan w:val="2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24(14.5)</w:t>
            </w:r>
          </w:p>
        </w:tc>
        <w:tc>
          <w:tcPr>
            <w:tcW w:w="567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18(25.0)</w:t>
            </w:r>
          </w:p>
        </w:tc>
        <w:tc>
          <w:tcPr>
            <w:tcW w:w="1028" w:type="dxa"/>
            <w:gridSpan w:val="4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0.007</w:t>
            </w:r>
          </w:p>
        </w:tc>
      </w:tr>
      <w:tr w:rsidR="00FD0E6B" w:rsidRPr="001127A2" w:rsidTr="00AB5C88">
        <w:trPr>
          <w:gridAfter w:val="1"/>
          <w:wAfter w:w="147" w:type="dxa"/>
          <w:trHeight w:val="315"/>
        </w:trPr>
        <w:tc>
          <w:tcPr>
            <w:tcW w:w="5740" w:type="dxa"/>
            <w:tcBorders>
              <w:bottom w:val="single" w:sz="4" w:space="0" w:color="auto"/>
            </w:tcBorders>
            <w:noWrap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Urinary infection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25(15.1)</w:t>
            </w:r>
          </w:p>
        </w:tc>
        <w:tc>
          <w:tcPr>
            <w:tcW w:w="567" w:type="dxa"/>
            <w:gridSpan w:val="3"/>
            <w:tcBorders>
              <w:bottom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3" w:type="dxa"/>
            <w:gridSpan w:val="3"/>
            <w:tcBorders>
              <w:bottom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13(18.1)</w:t>
            </w:r>
          </w:p>
        </w:tc>
        <w:tc>
          <w:tcPr>
            <w:tcW w:w="1028" w:type="dxa"/>
            <w:gridSpan w:val="4"/>
            <w:tcBorders>
              <w:bottom w:val="single" w:sz="4" w:space="0" w:color="auto"/>
            </w:tcBorders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0.54</w:t>
            </w:r>
          </w:p>
        </w:tc>
      </w:tr>
    </w:tbl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</w:rPr>
      </w:pP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127A2">
        <w:rPr>
          <w:rFonts w:ascii="Times New Roman" w:hAnsi="Times New Roman" w:cs="Times New Roman"/>
          <w:sz w:val="24"/>
          <w:szCs w:val="24"/>
          <w:lang w:val="en-US"/>
        </w:rPr>
        <w:t xml:space="preserve">Functional decline in rehabilitation was defined by decreasing ADL during rehabilitation unit stay. 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127A2">
        <w:rPr>
          <w:rFonts w:ascii="Times New Roman" w:hAnsi="Times New Roman" w:cs="Times New Roman"/>
          <w:sz w:val="24"/>
          <w:szCs w:val="24"/>
          <w:lang w:val="en-US"/>
        </w:rPr>
        <w:t>Crude OR are reported for variables associated with deteriorated ADL at p&lt;0.15. For patients with missing data, number of patients with available variable was defined (n=).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127A2">
        <w:rPr>
          <w:rFonts w:ascii="Times New Roman" w:hAnsi="Times New Roman" w:cs="Times New Roman"/>
          <w:sz w:val="24"/>
          <w:szCs w:val="24"/>
          <w:lang w:val="en-US"/>
        </w:rPr>
        <w:t xml:space="preserve">* </w:t>
      </w:r>
      <w:proofErr w:type="gramStart"/>
      <w:r w:rsidRPr="001127A2">
        <w:rPr>
          <w:rFonts w:ascii="Times New Roman" w:hAnsi="Times New Roman" w:cs="Times New Roman"/>
          <w:sz w:val="24"/>
          <w:szCs w:val="24"/>
          <w:lang w:val="en-US"/>
        </w:rPr>
        <w:t>by</w:t>
      </w:r>
      <w:proofErr w:type="gramEnd"/>
      <w:r w:rsidRPr="001127A2">
        <w:rPr>
          <w:rFonts w:ascii="Times New Roman" w:hAnsi="Times New Roman" w:cs="Times New Roman"/>
          <w:sz w:val="24"/>
          <w:szCs w:val="24"/>
          <w:lang w:val="en-US"/>
        </w:rPr>
        <w:t xml:space="preserve"> chi-square test, Fisher exact test, or </w:t>
      </w:r>
      <w:proofErr w:type="spellStart"/>
      <w:r w:rsidRPr="001127A2">
        <w:rPr>
          <w:rFonts w:ascii="Times New Roman" w:hAnsi="Times New Roman" w:cs="Times New Roman"/>
          <w:sz w:val="24"/>
          <w:szCs w:val="24"/>
          <w:lang w:val="en-US"/>
        </w:rPr>
        <w:t>Kruskal</w:t>
      </w:r>
      <w:proofErr w:type="spellEnd"/>
      <w:r w:rsidRPr="001127A2">
        <w:rPr>
          <w:rFonts w:ascii="Times New Roman" w:hAnsi="Times New Roman" w:cs="Times New Roman"/>
          <w:sz w:val="24"/>
          <w:szCs w:val="24"/>
          <w:lang w:val="en-US"/>
        </w:rPr>
        <w:t xml:space="preserve"> Wallis test as appropriate.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1127A2">
        <w:rPr>
          <w:rFonts w:ascii="Times New Roman" w:hAnsi="Times New Roman" w:cs="Times New Roman"/>
          <w:sz w:val="24"/>
          <w:szCs w:val="24"/>
          <w:lang w:val="en-US"/>
        </w:rPr>
        <w:t>†</w:t>
      </w:r>
      <w:r w:rsidRPr="001127A2">
        <w:rPr>
          <w:rFonts w:ascii="Times New Roman" w:hAnsi="Times New Roman" w:cs="Times New Roman"/>
          <w:sz w:val="24"/>
          <w:szCs w:val="24"/>
          <w:lang w:val="en-GB"/>
        </w:rPr>
        <w:t xml:space="preserve">Including respiratory disease, gastrointestinal disease, </w:t>
      </w:r>
      <w:proofErr w:type="spellStart"/>
      <w:proofErr w:type="gramStart"/>
      <w:r w:rsidRPr="001127A2">
        <w:rPr>
          <w:rFonts w:ascii="Times New Roman" w:hAnsi="Times New Roman" w:cs="Times New Roman"/>
          <w:sz w:val="24"/>
          <w:szCs w:val="24"/>
          <w:lang w:val="en-GB"/>
        </w:rPr>
        <w:t>osteoarticular</w:t>
      </w:r>
      <w:proofErr w:type="spellEnd"/>
      <w:proofErr w:type="gramEnd"/>
      <w:r w:rsidRPr="001127A2">
        <w:rPr>
          <w:rFonts w:ascii="Times New Roman" w:hAnsi="Times New Roman" w:cs="Times New Roman"/>
          <w:sz w:val="24"/>
          <w:szCs w:val="24"/>
          <w:lang w:val="en-GB"/>
        </w:rPr>
        <w:t xml:space="preserve"> disease other than fracture.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127A2">
        <w:rPr>
          <w:rFonts w:ascii="Times New Roman" w:hAnsi="Times New Roman" w:cs="Times New Roman"/>
          <w:sz w:val="24"/>
          <w:szCs w:val="24"/>
          <w:lang w:val="en-US"/>
        </w:rPr>
        <w:t>‡</w:t>
      </w:r>
      <w:r w:rsidRPr="001127A2">
        <w:rPr>
          <w:rFonts w:ascii="Times New Roman" w:hAnsi="Times New Roman" w:cs="Times New Roman"/>
          <w:sz w:val="24"/>
          <w:szCs w:val="24"/>
          <w:lang w:val="en-GB"/>
        </w:rPr>
        <w:t>Some patients had two or more acquired infections, so the sum of patients in the three groups is greater than 51.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127A2">
        <w:rPr>
          <w:rFonts w:ascii="Times New Roman" w:hAnsi="Times New Roman" w:cs="Times New Roman"/>
          <w:sz w:val="24"/>
          <w:szCs w:val="24"/>
          <w:lang w:val="en-US"/>
        </w:rPr>
        <w:t>ADL Activities of Daily Living on 12 points; CIRS-G Cumulative Illness Rating Scale for Geriatrics.</w:t>
      </w:r>
      <w:proofErr w:type="gramEnd"/>
      <w:r w:rsidRPr="001127A2">
        <w:rPr>
          <w:rFonts w:ascii="Times New Roman" w:hAnsi="Times New Roman" w:cs="Times New Roman"/>
          <w:sz w:val="24"/>
          <w:szCs w:val="24"/>
          <w:lang w:val="en-US"/>
        </w:rPr>
        <w:t xml:space="preserve"> Severe CIRS was defined by CIRS grade 3-4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127A2">
        <w:rPr>
          <w:rFonts w:ascii="Times New Roman" w:hAnsi="Times New Roman" w:cs="Times New Roman"/>
          <w:sz w:val="24"/>
          <w:szCs w:val="24"/>
          <w:lang w:val="en-US"/>
        </w:rPr>
        <w:t xml:space="preserve">CRP, C-reactive protein; MMSE, Mini-Mental State Examination, MD: Missing Data 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127A2">
        <w:rPr>
          <w:rFonts w:ascii="Times New Roman" w:hAnsi="Times New Roman" w:cs="Times New Roman"/>
          <w:sz w:val="24"/>
          <w:szCs w:val="24"/>
          <w:lang w:val="en-US"/>
        </w:rPr>
        <w:t>The CIRS –G consists of 14 domains related to different body systems. Scoring on the different domains is weighted by the severity of the comorbid condition. Severity scores range from 0 (none) to 4 (extremely severe). The global score is the sum of each of the 14 individual domain scores. The CIRS-G Index was calculated as the number of categories with score ≥ 2.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127A2">
        <w:rPr>
          <w:rFonts w:ascii="Times New Roman" w:hAnsi="Times New Roman" w:cs="Times New Roman"/>
          <w:sz w:val="24"/>
          <w:szCs w:val="24"/>
          <w:lang w:val="en-US"/>
        </w:rPr>
        <w:t>Appendix 2.</w:t>
      </w:r>
      <w:proofErr w:type="gramEnd"/>
      <w:r w:rsidRPr="001127A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1127A2">
        <w:rPr>
          <w:rFonts w:ascii="Times New Roman" w:hAnsi="Times New Roman" w:cs="Times New Roman"/>
          <w:sz w:val="24"/>
          <w:szCs w:val="24"/>
          <w:lang w:val="en-US"/>
        </w:rPr>
        <w:t>Tableau A2.</w:t>
      </w:r>
      <w:proofErr w:type="gramEnd"/>
      <w:r w:rsidRPr="001127A2">
        <w:rPr>
          <w:rFonts w:ascii="Times New Roman" w:hAnsi="Times New Roman" w:cs="Times New Roman"/>
          <w:sz w:val="24"/>
          <w:szCs w:val="24"/>
          <w:lang w:val="en-US"/>
        </w:rPr>
        <w:t xml:space="preserve"> Factors independently associated with ADL deterioration during rehabilitation unit stay, sensitivity analyses.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349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146"/>
        <w:gridCol w:w="2280"/>
        <w:gridCol w:w="2355"/>
        <w:gridCol w:w="2355"/>
        <w:gridCol w:w="2355"/>
      </w:tblGrid>
      <w:tr w:rsidR="00FD0E6B" w:rsidRPr="001127A2" w:rsidTr="00103641">
        <w:trPr>
          <w:trHeight w:val="555"/>
        </w:trPr>
        <w:tc>
          <w:tcPr>
            <w:tcW w:w="4146" w:type="dxa"/>
            <w:tcBorders>
              <w:top w:val="single" w:sz="8" w:space="0" w:color="000000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2280" w:type="dxa"/>
            <w:tcBorders>
              <w:top w:val="single" w:sz="8" w:space="0" w:color="000000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Model 1</w:t>
            </w:r>
          </w:p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Adjusted OR [95% CI]</w:t>
            </w:r>
          </w:p>
        </w:tc>
        <w:tc>
          <w:tcPr>
            <w:tcW w:w="2355" w:type="dxa"/>
            <w:tcBorders>
              <w:top w:val="single" w:sz="8" w:space="0" w:color="000000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value</w:t>
            </w:r>
          </w:p>
        </w:tc>
        <w:tc>
          <w:tcPr>
            <w:tcW w:w="2355" w:type="dxa"/>
            <w:tcBorders>
              <w:top w:val="single" w:sz="8" w:space="0" w:color="000000"/>
              <w:left w:val="nil"/>
              <w:right w:val="nil"/>
            </w:tcBorders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Model 2</w:t>
            </w:r>
          </w:p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Adjusted OR [95% CI]</w:t>
            </w:r>
          </w:p>
        </w:tc>
        <w:tc>
          <w:tcPr>
            <w:tcW w:w="2355" w:type="dxa"/>
            <w:tcBorders>
              <w:top w:val="single" w:sz="8" w:space="0" w:color="000000"/>
              <w:left w:val="nil"/>
              <w:right w:val="nil"/>
            </w:tcBorders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value</w:t>
            </w: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Sensitivity analysis no. 1</w:t>
            </w:r>
          </w:p>
        </w:tc>
        <w:tc>
          <w:tcPr>
            <w:tcW w:w="22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CIRS-G Index</w:t>
            </w:r>
          </w:p>
        </w:tc>
        <w:tc>
          <w:tcPr>
            <w:tcW w:w="22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1.32 [1.1-1.56]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0.003</w:t>
            </w:r>
          </w:p>
        </w:tc>
        <w:tc>
          <w:tcPr>
            <w:tcW w:w="2355" w:type="dxa"/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  <w:tc>
          <w:tcPr>
            <w:tcW w:w="2355" w:type="dxa"/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CIRS G ≥2 for respiratory diseases</w:t>
            </w:r>
          </w:p>
        </w:tc>
        <w:tc>
          <w:tcPr>
            <w:tcW w:w="2280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  <w:tc>
          <w:tcPr>
            <w:tcW w:w="2355" w:type="dxa"/>
            <w:tcBorders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  <w:tc>
          <w:tcPr>
            <w:tcW w:w="2355" w:type="dxa"/>
            <w:tcBorders>
              <w:left w:val="nil"/>
              <w:right w:val="nil"/>
            </w:tcBorders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2.87 [1.12-7.37]</w:t>
            </w:r>
          </w:p>
        </w:tc>
        <w:tc>
          <w:tcPr>
            <w:tcW w:w="2355" w:type="dxa"/>
            <w:tcBorders>
              <w:left w:val="nil"/>
              <w:right w:val="nil"/>
            </w:tcBorders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</w:t>
            </w: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CIRS G ≥2 for psychiatric diseases</w:t>
            </w:r>
          </w:p>
        </w:tc>
        <w:tc>
          <w:tcPr>
            <w:tcW w:w="2280" w:type="dxa"/>
            <w:tcBorders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  <w:tc>
          <w:tcPr>
            <w:tcW w:w="2355" w:type="dxa"/>
            <w:tcBorders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  <w:tc>
          <w:tcPr>
            <w:tcW w:w="2355" w:type="dxa"/>
            <w:tcBorders>
              <w:left w:val="nil"/>
              <w:bottom w:val="nil"/>
              <w:right w:val="nil"/>
            </w:tcBorders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4.77 [1.28-17.81]</w:t>
            </w:r>
          </w:p>
        </w:tc>
        <w:tc>
          <w:tcPr>
            <w:tcW w:w="2355" w:type="dxa"/>
            <w:tcBorders>
              <w:left w:val="nil"/>
              <w:bottom w:val="nil"/>
              <w:right w:val="nil"/>
            </w:tcBorders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</w:t>
            </w: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Albumin level &lt; 35 g/l</w:t>
            </w:r>
          </w:p>
        </w:tc>
        <w:tc>
          <w:tcPr>
            <w:tcW w:w="228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1.68 [0.93-3.03]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</w:t>
            </w:r>
          </w:p>
        </w:tc>
        <w:tc>
          <w:tcPr>
            <w:tcW w:w="2355" w:type="dxa"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3.01 [1.17-7.76]</w:t>
            </w:r>
          </w:p>
        </w:tc>
        <w:tc>
          <w:tcPr>
            <w:tcW w:w="2355" w:type="dxa"/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</w:t>
            </w: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MMSE</w:t>
            </w:r>
            <w:r w:rsidRPr="001127A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 point decrease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1.04 [0.99-1.10]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0.14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Sensitivity analysis no. 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CIRS-G Index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1.27 [0.99-1.63]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CIRS G ≥2 for respiratory diseases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2.16 [0.93-5.04]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0.07</w:t>
            </w: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CIRS G ≥2 for psychiatric diseases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3.14 [0.89-11.04]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0.07</w:t>
            </w: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Albumin level &lt; 35 g/l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2.24 [0.89-5.62]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2.42 [0.97-5.60]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</w:t>
            </w: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MMSE</w:t>
            </w:r>
            <w:r w:rsidRPr="001127A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 point decrease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1.14 [0.47-2.74]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0.77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Sensitivity analysis no. 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CIRS-G Index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1.30 [1.03-1.64]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CIRS G ≥2 for respiratory diseases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2.34 [0.88-6.18]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</w:t>
            </w: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CIRS G ≥2 for psychiatric diseases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4.10 [1.15-14.6]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</w:t>
            </w: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Albumin level &lt; 35 g/l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1.94 [0.86-4.38]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0.11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2.36 [1.05-5.27]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</w:t>
            </w: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MMSE</w:t>
            </w:r>
            <w:r w:rsidRPr="001127A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1 point decrease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1.04 [0.97-1.12]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27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0.24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0E6B" w:rsidRPr="001127A2" w:rsidTr="00103641">
        <w:trPr>
          <w:trHeight w:val="555"/>
        </w:trPr>
        <w:tc>
          <w:tcPr>
            <w:tcW w:w="414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D0E6B" w:rsidRPr="001127A2" w:rsidRDefault="00FD0E6B" w:rsidP="00103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127A2">
        <w:rPr>
          <w:rFonts w:ascii="Times New Roman" w:hAnsi="Times New Roman" w:cs="Times New Roman"/>
          <w:sz w:val="24"/>
          <w:szCs w:val="24"/>
          <w:lang w:val="en-US"/>
        </w:rPr>
        <w:t>Sensitivity analysis 1: considering that patients with missing discharged ADL data had a functional decline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127A2">
        <w:rPr>
          <w:rFonts w:ascii="Times New Roman" w:hAnsi="Times New Roman" w:cs="Times New Roman"/>
          <w:sz w:val="24"/>
          <w:szCs w:val="24"/>
          <w:lang w:val="en-US"/>
        </w:rPr>
        <w:t>Sensitivity analysis 2: considering that patients with missing discharged ADL data had no functional decline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127A2">
        <w:rPr>
          <w:rFonts w:ascii="Times New Roman" w:hAnsi="Times New Roman" w:cs="Times New Roman"/>
          <w:sz w:val="24"/>
          <w:szCs w:val="24"/>
          <w:lang w:val="en-US"/>
        </w:rPr>
        <w:t xml:space="preserve">Sensitivity analysis 3: analysis with multiple multivariate imputations for missing discharged ADL data 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127A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127A2">
        <w:rPr>
          <w:rFonts w:ascii="Times New Roman" w:hAnsi="Times New Roman" w:cs="Times New Roman"/>
          <w:sz w:val="24"/>
          <w:szCs w:val="24"/>
          <w:lang w:val="en-US"/>
        </w:rPr>
        <w:t>Adjusted ORs were estimated by logistic regression adjusted for all variables in the table, with routine adjustment for CRP level (</w:t>
      </w:r>
      <w:r w:rsidRPr="001127A2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1127A2">
        <w:rPr>
          <w:rFonts w:ascii="Times New Roman" w:hAnsi="Times New Roman" w:cs="Times New Roman"/>
          <w:sz w:val="24"/>
          <w:szCs w:val="24"/>
          <w:lang w:val="en-US"/>
        </w:rPr>
        <w:t xml:space="preserve"> value: Wald test).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127A2">
        <w:rPr>
          <w:rFonts w:ascii="Times New Roman" w:hAnsi="Times New Roman" w:cs="Times New Roman"/>
          <w:sz w:val="24"/>
          <w:szCs w:val="24"/>
          <w:lang w:val="en-US"/>
        </w:rPr>
        <w:lastRenderedPageBreak/>
        <w:t>MMSE, Mini- Mental State Examination; CIRS-G, Cumulative Illness Rating Scale for Geriatrics, CIRS-G Index calculated as the number of categories with score ≥ 2.</w:t>
      </w:r>
    </w:p>
    <w:p w:rsidR="00FD0E6B" w:rsidRPr="001127A2" w:rsidRDefault="00FD0E6B" w:rsidP="00FD0E6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933A0" w:rsidRPr="001127A2" w:rsidRDefault="00F933A0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F933A0" w:rsidRPr="001127A2" w:rsidSect="00FD0E6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00A77"/>
    <w:multiLevelType w:val="hybridMultilevel"/>
    <w:tmpl w:val="219CB5D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E6B"/>
    <w:rsid w:val="001127A2"/>
    <w:rsid w:val="00215F71"/>
    <w:rsid w:val="00357B95"/>
    <w:rsid w:val="003A56FC"/>
    <w:rsid w:val="003F3ABA"/>
    <w:rsid w:val="005B5E1B"/>
    <w:rsid w:val="00955761"/>
    <w:rsid w:val="00AB5C88"/>
    <w:rsid w:val="00D3268F"/>
    <w:rsid w:val="00E35B8B"/>
    <w:rsid w:val="00F933A0"/>
    <w:rsid w:val="00FD0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E6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FD0E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E6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FD0E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835</Words>
  <Characters>4596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</dc:creator>
  <cp:lastModifiedBy>Marie</cp:lastModifiedBy>
  <cp:revision>4</cp:revision>
  <dcterms:created xsi:type="dcterms:W3CDTF">2019-10-08T14:39:00Z</dcterms:created>
  <dcterms:modified xsi:type="dcterms:W3CDTF">2020-03-18T15:05:00Z</dcterms:modified>
</cp:coreProperties>
</file>